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65523">
      <w:pPr>
        <w:spacing w:before="199" w:line="220" w:lineRule="auto"/>
        <w:ind w:left="209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4"/>
          <w:sz w:val="45"/>
          <w:szCs w:val="45"/>
        </w:rPr>
        <w:t>大理大学实验室安全分级表</w:t>
      </w:r>
    </w:p>
    <w:p w14:paraId="29A9C816">
      <w:pPr>
        <w:spacing w:before="83"/>
      </w:pPr>
    </w:p>
    <w:tbl>
      <w:tblPr>
        <w:tblStyle w:val="5"/>
        <w:tblW w:w="92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7836"/>
      </w:tblGrid>
      <w:tr w14:paraId="0D3D5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443" w:type="dxa"/>
            <w:vAlign w:val="top"/>
          </w:tcPr>
          <w:p w14:paraId="78DF724B">
            <w:pPr>
              <w:pStyle w:val="6"/>
              <w:spacing w:before="262" w:line="220" w:lineRule="auto"/>
              <w:ind w:left="218"/>
            </w:pPr>
            <w:r>
              <w:rPr>
                <w:b/>
                <w:bCs/>
              </w:rPr>
              <w:t>安全级别</w:t>
            </w:r>
          </w:p>
        </w:tc>
        <w:tc>
          <w:tcPr>
            <w:tcW w:w="7836" w:type="dxa"/>
            <w:vAlign w:val="top"/>
          </w:tcPr>
          <w:p w14:paraId="0EE377EB">
            <w:pPr>
              <w:pStyle w:val="6"/>
              <w:spacing w:before="270" w:line="219" w:lineRule="auto"/>
              <w:ind w:left="3225"/>
            </w:pPr>
            <w:r>
              <w:rPr>
                <w:b/>
                <w:bCs/>
                <w:spacing w:val="-5"/>
              </w:rPr>
              <w:t>参考分级依据</w:t>
            </w:r>
          </w:p>
        </w:tc>
      </w:tr>
      <w:tr w14:paraId="07B1E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4" w:hRule="atLeast"/>
        </w:trPr>
        <w:tc>
          <w:tcPr>
            <w:tcW w:w="1443" w:type="dxa"/>
            <w:vAlign w:val="top"/>
          </w:tcPr>
          <w:p w14:paraId="4E04A1A2">
            <w:pPr>
              <w:spacing w:line="242" w:lineRule="auto"/>
              <w:rPr>
                <w:rFonts w:ascii="Arial"/>
                <w:sz w:val="21"/>
              </w:rPr>
            </w:pPr>
          </w:p>
          <w:p w14:paraId="286CBC61">
            <w:pPr>
              <w:spacing w:line="242" w:lineRule="auto"/>
              <w:rPr>
                <w:rFonts w:ascii="Arial"/>
                <w:sz w:val="21"/>
              </w:rPr>
            </w:pPr>
          </w:p>
          <w:p w14:paraId="2DDB748C">
            <w:pPr>
              <w:spacing w:line="242" w:lineRule="auto"/>
              <w:rPr>
                <w:rFonts w:ascii="Arial"/>
                <w:sz w:val="21"/>
              </w:rPr>
            </w:pPr>
          </w:p>
          <w:p w14:paraId="47B2491B">
            <w:pPr>
              <w:spacing w:line="242" w:lineRule="auto"/>
              <w:rPr>
                <w:rFonts w:ascii="Arial"/>
                <w:sz w:val="21"/>
              </w:rPr>
            </w:pPr>
          </w:p>
          <w:p w14:paraId="7A0DFABA">
            <w:pPr>
              <w:spacing w:line="242" w:lineRule="auto"/>
              <w:rPr>
                <w:rFonts w:ascii="Arial"/>
                <w:sz w:val="21"/>
              </w:rPr>
            </w:pPr>
          </w:p>
          <w:p w14:paraId="54BAFD02">
            <w:pPr>
              <w:spacing w:line="242" w:lineRule="auto"/>
              <w:rPr>
                <w:rFonts w:ascii="Arial"/>
                <w:sz w:val="21"/>
              </w:rPr>
            </w:pPr>
          </w:p>
          <w:p w14:paraId="7B7E7A20">
            <w:pPr>
              <w:spacing w:line="242" w:lineRule="auto"/>
              <w:rPr>
                <w:rFonts w:ascii="Arial"/>
                <w:sz w:val="21"/>
              </w:rPr>
            </w:pPr>
          </w:p>
          <w:p w14:paraId="57A337F5">
            <w:pPr>
              <w:spacing w:line="243" w:lineRule="auto"/>
              <w:rPr>
                <w:rFonts w:ascii="Arial"/>
                <w:sz w:val="21"/>
              </w:rPr>
            </w:pPr>
          </w:p>
          <w:p w14:paraId="67313704">
            <w:pPr>
              <w:spacing w:line="243" w:lineRule="auto"/>
              <w:rPr>
                <w:rFonts w:ascii="Arial"/>
                <w:sz w:val="21"/>
              </w:rPr>
            </w:pPr>
          </w:p>
          <w:p w14:paraId="1FBFBC4C">
            <w:pPr>
              <w:spacing w:line="243" w:lineRule="auto"/>
              <w:rPr>
                <w:rFonts w:ascii="Arial"/>
                <w:sz w:val="21"/>
              </w:rPr>
            </w:pPr>
          </w:p>
          <w:p w14:paraId="34A12D43">
            <w:pPr>
              <w:spacing w:line="243" w:lineRule="auto"/>
              <w:rPr>
                <w:rFonts w:ascii="Arial"/>
                <w:sz w:val="21"/>
              </w:rPr>
            </w:pPr>
          </w:p>
          <w:p w14:paraId="2D7CFC43">
            <w:pPr>
              <w:pStyle w:val="6"/>
              <w:spacing w:before="81" w:line="300" w:lineRule="auto"/>
              <w:ind w:left="25" w:firstLine="59"/>
              <w:jc w:val="both"/>
            </w:pPr>
            <w:r>
              <w:t xml:space="preserve">I级/红色级 </w:t>
            </w:r>
            <w:r>
              <w:rPr>
                <w:spacing w:val="-2"/>
              </w:rPr>
              <w:t>实验室(重大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风险实验室)</w:t>
            </w:r>
          </w:p>
        </w:tc>
        <w:tc>
          <w:tcPr>
            <w:tcW w:w="7836" w:type="dxa"/>
            <w:vAlign w:val="top"/>
          </w:tcPr>
          <w:p w14:paraId="6D3868E1">
            <w:pPr>
              <w:pStyle w:val="6"/>
              <w:spacing w:before="122" w:line="220" w:lineRule="auto"/>
              <w:ind w:left="11"/>
            </w:pPr>
            <w:r>
              <w:rPr>
                <w:spacing w:val="1"/>
              </w:rPr>
              <w:t>实验室有以下情况之一的：</w:t>
            </w:r>
          </w:p>
          <w:p w14:paraId="48D3660A">
            <w:pPr>
              <w:pStyle w:val="6"/>
              <w:spacing w:before="101" w:line="219" w:lineRule="auto"/>
              <w:ind w:left="131"/>
            </w:pPr>
            <w:r>
              <w:rPr>
                <w:spacing w:val="6"/>
              </w:rPr>
              <w:t>(1)实验原料或产物含剧毒化学成分；</w:t>
            </w:r>
          </w:p>
          <w:p w14:paraId="7AFF51F1">
            <w:pPr>
              <w:pStyle w:val="6"/>
              <w:spacing w:before="123" w:line="219" w:lineRule="auto"/>
              <w:ind w:left="131"/>
            </w:pPr>
            <w:r>
              <w:rPr>
                <w:spacing w:val="10"/>
              </w:rPr>
              <w:t>(2)使用剧毒化学品；</w:t>
            </w:r>
          </w:p>
          <w:p w14:paraId="2013252F">
            <w:pPr>
              <w:pStyle w:val="6"/>
              <w:spacing w:before="81" w:line="219" w:lineRule="auto"/>
              <w:ind w:left="131"/>
            </w:pPr>
            <w:r>
              <w:rPr>
                <w:spacing w:val="5"/>
              </w:rPr>
              <w:t>(3)存储第一类易制毒品、第一类精神药品；</w:t>
            </w:r>
          </w:p>
          <w:p w14:paraId="6080EA61">
            <w:pPr>
              <w:pStyle w:val="6"/>
              <w:spacing w:before="106" w:line="214" w:lineRule="auto"/>
              <w:ind w:left="131"/>
            </w:pPr>
            <w:r>
              <w:rPr>
                <w:spacing w:val="2"/>
              </w:rPr>
              <w:t>(4)存储易燃易爆化学品总量大于50</w:t>
            </w:r>
            <w:r>
              <w:t>kg</w:t>
            </w:r>
            <w:r>
              <w:rPr>
                <w:spacing w:val="2"/>
              </w:rPr>
              <w:t>或50L;</w:t>
            </w:r>
          </w:p>
          <w:p w14:paraId="1F90FA62">
            <w:pPr>
              <w:pStyle w:val="6"/>
              <w:spacing w:before="119" w:line="219" w:lineRule="auto"/>
              <w:ind w:left="131"/>
            </w:pPr>
            <w:r>
              <w:rPr>
                <w:spacing w:val="6"/>
              </w:rPr>
              <w:t>(5)存储有毒、易燃气体总量≥6瓶；</w:t>
            </w:r>
          </w:p>
          <w:p w14:paraId="180347C4">
            <w:pPr>
              <w:pStyle w:val="6"/>
              <w:spacing w:before="94" w:line="220" w:lineRule="auto"/>
              <w:ind w:left="131"/>
            </w:pPr>
            <w:r>
              <w:rPr>
                <w:spacing w:val="5"/>
              </w:rPr>
              <w:t>(6)生物安全</w:t>
            </w:r>
            <w:r>
              <w:t>BSL</w:t>
            </w:r>
            <w:r>
              <w:rPr>
                <w:spacing w:val="5"/>
              </w:rPr>
              <w:t>-3、</w:t>
            </w:r>
            <w:r>
              <w:t>ABSL</w:t>
            </w:r>
            <w:r>
              <w:rPr>
                <w:spacing w:val="5"/>
              </w:rPr>
              <w:t>-3、</w:t>
            </w:r>
            <w:r>
              <w:t>BSL</w:t>
            </w:r>
            <w:r>
              <w:rPr>
                <w:spacing w:val="5"/>
              </w:rPr>
              <w:t>-4、</w:t>
            </w:r>
            <w:r>
              <w:t>ABSL</w:t>
            </w:r>
            <w:r>
              <w:rPr>
                <w:spacing w:val="5"/>
              </w:rPr>
              <w:t>-4实验室；</w:t>
            </w:r>
          </w:p>
          <w:p w14:paraId="4D77A74F">
            <w:pPr>
              <w:pStyle w:val="6"/>
              <w:spacing w:before="101" w:line="219" w:lineRule="auto"/>
              <w:ind w:left="131"/>
            </w:pPr>
            <w:r>
              <w:rPr>
                <w:spacing w:val="8"/>
              </w:rPr>
              <w:t>(7)使用I、Ⅱ类射线设备；</w:t>
            </w:r>
          </w:p>
          <w:p w14:paraId="3FE18937">
            <w:pPr>
              <w:pStyle w:val="6"/>
              <w:spacing w:before="92" w:line="219" w:lineRule="auto"/>
              <w:ind w:left="131"/>
            </w:pPr>
            <w:r>
              <w:rPr>
                <w:spacing w:val="5"/>
              </w:rPr>
              <w:t>(8)使用放射性同位素、放射源、核材料；</w:t>
            </w:r>
          </w:p>
          <w:p w14:paraId="43B72AB8">
            <w:pPr>
              <w:pStyle w:val="6"/>
              <w:spacing w:before="133" w:line="219" w:lineRule="auto"/>
              <w:ind w:left="131"/>
            </w:pPr>
            <w:r>
              <w:rPr>
                <w:spacing w:val="9"/>
              </w:rPr>
              <w:t>(9)使用机电类特种设备；</w:t>
            </w:r>
          </w:p>
          <w:p w14:paraId="32FBFC5F">
            <w:pPr>
              <w:pStyle w:val="6"/>
              <w:spacing w:before="95" w:line="219" w:lineRule="auto"/>
              <w:ind w:left="131"/>
            </w:pPr>
            <w:r>
              <w:rPr>
                <w:spacing w:val="6"/>
              </w:rPr>
              <w:t>(10)使用超高压等第三类压力容器；</w:t>
            </w:r>
          </w:p>
          <w:p w14:paraId="6739959D">
            <w:pPr>
              <w:pStyle w:val="6"/>
              <w:spacing w:before="104" w:line="219" w:lineRule="auto"/>
              <w:ind w:left="131"/>
            </w:pPr>
            <w:r>
              <w:rPr>
                <w:spacing w:val="8"/>
              </w:rPr>
              <w:t>(11)使用强磁、强电设备；</w:t>
            </w:r>
          </w:p>
          <w:p w14:paraId="24A8C6EF">
            <w:pPr>
              <w:pStyle w:val="6"/>
              <w:spacing w:before="103" w:line="219" w:lineRule="auto"/>
              <w:ind w:left="131"/>
            </w:pPr>
            <w:r>
              <w:rPr>
                <w:spacing w:val="6"/>
              </w:rPr>
              <w:t>(12)使用4、3R、3B类激光设备；</w:t>
            </w:r>
          </w:p>
          <w:p w14:paraId="6E8DD913">
            <w:pPr>
              <w:pStyle w:val="6"/>
              <w:spacing w:before="111" w:line="218" w:lineRule="auto"/>
              <w:ind w:left="131"/>
            </w:pPr>
            <w:r>
              <w:rPr>
                <w:spacing w:val="6"/>
              </w:rPr>
              <w:t>(13)使用富氧涉爆实验室自制设备；</w:t>
            </w:r>
          </w:p>
          <w:p w14:paraId="60F0E454">
            <w:pPr>
              <w:pStyle w:val="6"/>
              <w:spacing w:before="95" w:line="218" w:lineRule="auto"/>
              <w:ind w:left="131"/>
            </w:pPr>
            <w:r>
              <w:t>(14)按照《大理大学实验室安全风险评价表》评分≥100分的实验</w:t>
            </w:r>
            <w:r>
              <w:rPr>
                <w:spacing w:val="-1"/>
              </w:rPr>
              <w:t>室。</w:t>
            </w:r>
          </w:p>
        </w:tc>
      </w:tr>
      <w:tr w14:paraId="00B38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82" w:hRule="atLeast"/>
        </w:trPr>
        <w:tc>
          <w:tcPr>
            <w:tcW w:w="1443" w:type="dxa"/>
            <w:vAlign w:val="top"/>
          </w:tcPr>
          <w:p w14:paraId="4E6E5FB1">
            <w:pPr>
              <w:spacing w:line="284" w:lineRule="auto"/>
              <w:rPr>
                <w:rFonts w:ascii="Arial"/>
                <w:sz w:val="21"/>
              </w:rPr>
            </w:pPr>
          </w:p>
          <w:p w14:paraId="32AB6461">
            <w:pPr>
              <w:spacing w:line="285" w:lineRule="auto"/>
              <w:rPr>
                <w:rFonts w:ascii="Arial"/>
                <w:sz w:val="21"/>
              </w:rPr>
            </w:pPr>
          </w:p>
          <w:p w14:paraId="0AEB30C0">
            <w:pPr>
              <w:spacing w:line="285" w:lineRule="auto"/>
              <w:rPr>
                <w:rFonts w:ascii="Arial"/>
                <w:sz w:val="21"/>
              </w:rPr>
            </w:pPr>
          </w:p>
          <w:p w14:paraId="7CF2E130">
            <w:pPr>
              <w:spacing w:line="285" w:lineRule="auto"/>
              <w:rPr>
                <w:rFonts w:ascii="Arial"/>
                <w:sz w:val="21"/>
              </w:rPr>
            </w:pPr>
          </w:p>
          <w:p w14:paraId="2C9436AD">
            <w:pPr>
              <w:spacing w:line="285" w:lineRule="auto"/>
              <w:rPr>
                <w:rFonts w:ascii="Arial"/>
                <w:sz w:val="21"/>
              </w:rPr>
            </w:pPr>
          </w:p>
          <w:p w14:paraId="67A3ED3F">
            <w:pPr>
              <w:pStyle w:val="6"/>
              <w:spacing w:before="82" w:line="298" w:lineRule="auto"/>
              <w:ind w:left="25" w:right="22"/>
              <w:jc w:val="both"/>
            </w:pPr>
            <w:r>
              <w:rPr>
                <w:spacing w:val="1"/>
              </w:rPr>
              <w:t>Ⅱ级/橙色级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实验室(高风</w:t>
            </w:r>
            <w:r>
              <w:t xml:space="preserve"> </w:t>
            </w:r>
            <w:r>
              <w:rPr>
                <w:spacing w:val="35"/>
              </w:rPr>
              <w:t>险实验室)</w:t>
            </w:r>
          </w:p>
        </w:tc>
        <w:tc>
          <w:tcPr>
            <w:tcW w:w="7836" w:type="dxa"/>
            <w:vAlign w:val="top"/>
          </w:tcPr>
          <w:p w14:paraId="24FC22B3">
            <w:pPr>
              <w:pStyle w:val="6"/>
              <w:spacing w:before="128" w:line="220" w:lineRule="auto"/>
              <w:ind w:left="11"/>
            </w:pPr>
            <w:r>
              <w:rPr>
                <w:spacing w:val="1"/>
              </w:rPr>
              <w:t>实验室有以下情况之一的：</w:t>
            </w:r>
          </w:p>
          <w:p w14:paraId="62A6E508">
            <w:pPr>
              <w:pStyle w:val="6"/>
              <w:spacing w:before="89" w:line="219" w:lineRule="auto"/>
              <w:ind w:left="131"/>
            </w:pPr>
            <w:r>
              <w:rPr>
                <w:spacing w:val="9"/>
              </w:rPr>
              <w:t>(1)存储第二类精神药品；</w:t>
            </w:r>
          </w:p>
          <w:p w14:paraId="4A1DE032">
            <w:pPr>
              <w:pStyle w:val="6"/>
              <w:spacing w:before="106" w:line="214" w:lineRule="auto"/>
              <w:ind w:left="131"/>
            </w:pPr>
            <w:r>
              <w:rPr>
                <w:spacing w:val="1"/>
              </w:rPr>
              <w:t>(2)存储易燃易爆化学品总量为20～50</w:t>
            </w:r>
            <w:r>
              <w:t>kg</w:t>
            </w:r>
            <w:r>
              <w:rPr>
                <w:spacing w:val="1"/>
              </w:rPr>
              <w:t>或20～50L;</w:t>
            </w:r>
          </w:p>
          <w:p w14:paraId="4D41FD03">
            <w:pPr>
              <w:pStyle w:val="6"/>
              <w:spacing w:before="119" w:line="219" w:lineRule="auto"/>
              <w:ind w:left="131"/>
            </w:pPr>
            <w:r>
              <w:rPr>
                <w:spacing w:val="5"/>
              </w:rPr>
              <w:t>(3)存储有毒、易燃气体总量为3～6(不含)瓶；</w:t>
            </w:r>
          </w:p>
          <w:p w14:paraId="061DA876">
            <w:pPr>
              <w:pStyle w:val="6"/>
              <w:spacing w:before="94" w:line="220" w:lineRule="auto"/>
              <w:ind w:left="131"/>
            </w:pPr>
            <w:r>
              <w:rPr>
                <w:spacing w:val="7"/>
              </w:rPr>
              <w:t>(4)生物安全</w:t>
            </w:r>
            <w:r>
              <w:t>BSL</w:t>
            </w:r>
            <w:r>
              <w:rPr>
                <w:spacing w:val="7"/>
              </w:rPr>
              <w:t>-2、</w:t>
            </w:r>
            <w:r>
              <w:t>ABSL</w:t>
            </w:r>
            <w:r>
              <w:rPr>
                <w:spacing w:val="7"/>
              </w:rPr>
              <w:t>-2实验室；</w:t>
            </w:r>
          </w:p>
          <w:p w14:paraId="0BAA1A20">
            <w:pPr>
              <w:pStyle w:val="6"/>
              <w:spacing w:before="131" w:line="219" w:lineRule="auto"/>
              <w:ind w:left="131"/>
            </w:pPr>
            <w:r>
              <w:rPr>
                <w:spacing w:val="7"/>
              </w:rPr>
              <w:t>(5)使用第一类、第二类压力容器；</w:t>
            </w:r>
          </w:p>
          <w:p w14:paraId="3073A327">
            <w:pPr>
              <w:pStyle w:val="6"/>
              <w:spacing w:before="72" w:line="273" w:lineRule="auto"/>
              <w:ind w:left="131" w:right="93" w:hanging="30"/>
            </w:pPr>
            <w:r>
              <w:t>(6)按照《大理大学实验室安全风险评价表》75≤评分&lt;100范围的实验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室。</w:t>
            </w:r>
          </w:p>
        </w:tc>
      </w:tr>
    </w:tbl>
    <w:p w14:paraId="489A58E9">
      <w:pPr>
        <w:pStyle w:val="2"/>
      </w:pPr>
    </w:p>
    <w:p w14:paraId="3A5D30F1">
      <w:pPr>
        <w:sectPr>
          <w:footerReference r:id="rId5" w:type="default"/>
          <w:pgSz w:w="11920" w:h="16830"/>
          <w:pgMar w:top="1430" w:right="1315" w:bottom="1649" w:left="1315" w:header="0" w:footer="1270" w:gutter="0"/>
          <w:cols w:space="720" w:num="1"/>
        </w:sectPr>
      </w:pPr>
    </w:p>
    <w:p w14:paraId="4437F426">
      <w:pPr>
        <w:spacing w:before="13"/>
      </w:pPr>
    </w:p>
    <w:tbl>
      <w:tblPr>
        <w:tblStyle w:val="5"/>
        <w:tblW w:w="90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7567"/>
      </w:tblGrid>
      <w:tr w14:paraId="4BCE9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503" w:type="dxa"/>
            <w:vAlign w:val="top"/>
          </w:tcPr>
          <w:p w14:paraId="033365DD">
            <w:pPr>
              <w:pStyle w:val="6"/>
              <w:spacing w:before="292" w:line="220" w:lineRule="auto"/>
              <w:ind w:left="248"/>
            </w:pPr>
            <w:r>
              <w:rPr>
                <w:b/>
                <w:bCs/>
              </w:rPr>
              <w:t>安全级别</w:t>
            </w:r>
          </w:p>
        </w:tc>
        <w:tc>
          <w:tcPr>
            <w:tcW w:w="7567" w:type="dxa"/>
            <w:vAlign w:val="top"/>
          </w:tcPr>
          <w:p w14:paraId="15EDC547">
            <w:pPr>
              <w:pStyle w:val="6"/>
              <w:spacing w:before="290" w:line="219" w:lineRule="auto"/>
              <w:ind w:left="3085"/>
            </w:pPr>
            <w:r>
              <w:rPr>
                <w:b/>
                <w:bCs/>
                <w:spacing w:val="-5"/>
              </w:rPr>
              <w:t>参考分级依据</w:t>
            </w:r>
          </w:p>
        </w:tc>
      </w:tr>
      <w:tr w14:paraId="5B83F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</w:trPr>
        <w:tc>
          <w:tcPr>
            <w:tcW w:w="1503" w:type="dxa"/>
            <w:vAlign w:val="top"/>
          </w:tcPr>
          <w:p w14:paraId="13DE46C4">
            <w:pPr>
              <w:spacing w:line="271" w:lineRule="auto"/>
              <w:rPr>
                <w:rFonts w:ascii="Arial"/>
                <w:sz w:val="21"/>
              </w:rPr>
            </w:pPr>
          </w:p>
          <w:p w14:paraId="390ABB99">
            <w:pPr>
              <w:spacing w:line="271" w:lineRule="auto"/>
              <w:rPr>
                <w:rFonts w:ascii="Arial"/>
                <w:sz w:val="21"/>
              </w:rPr>
            </w:pPr>
          </w:p>
          <w:p w14:paraId="1574A74C">
            <w:pPr>
              <w:spacing w:line="272" w:lineRule="auto"/>
              <w:rPr>
                <w:rFonts w:ascii="Arial"/>
                <w:sz w:val="21"/>
              </w:rPr>
            </w:pPr>
          </w:p>
          <w:p w14:paraId="4C10022C">
            <w:pPr>
              <w:pStyle w:val="6"/>
              <w:spacing w:before="81" w:line="305" w:lineRule="auto"/>
              <w:ind w:left="55" w:right="56"/>
              <w:jc w:val="both"/>
            </w:pPr>
            <w:r>
              <w:rPr>
                <w:spacing w:val="-2"/>
              </w:rPr>
              <w:t>Ⅲ级/黄色级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实验室(中风</w:t>
            </w:r>
            <w:r>
              <w:t xml:space="preserve"> </w:t>
            </w:r>
            <w:r>
              <w:rPr>
                <w:spacing w:val="35"/>
              </w:rPr>
              <w:t>险实验室)</w:t>
            </w:r>
          </w:p>
        </w:tc>
        <w:tc>
          <w:tcPr>
            <w:tcW w:w="7567" w:type="dxa"/>
            <w:vAlign w:val="top"/>
          </w:tcPr>
          <w:p w14:paraId="2BEB42BA">
            <w:pPr>
              <w:pStyle w:val="6"/>
              <w:spacing w:before="102" w:line="220" w:lineRule="auto"/>
              <w:ind w:left="12"/>
            </w:pPr>
            <w:r>
              <w:rPr>
                <w:spacing w:val="1"/>
              </w:rPr>
              <w:t>实验室有以下情况之一的：</w:t>
            </w:r>
          </w:p>
          <w:p w14:paraId="49ED7C27">
            <w:pPr>
              <w:pStyle w:val="6"/>
              <w:spacing w:before="111" w:line="219" w:lineRule="auto"/>
              <w:ind w:left="12"/>
            </w:pPr>
            <w:r>
              <w:rPr>
                <w:spacing w:val="8"/>
              </w:rPr>
              <w:t>(1)存储第二/三类易制毒品；</w:t>
            </w:r>
          </w:p>
          <w:p w14:paraId="7DFBF308">
            <w:pPr>
              <w:pStyle w:val="6"/>
              <w:spacing w:before="114" w:line="220" w:lineRule="auto"/>
              <w:ind w:left="12"/>
            </w:pPr>
            <w:r>
              <w:rPr>
                <w:spacing w:val="7"/>
              </w:rPr>
              <w:t>(2)生物安全</w:t>
            </w:r>
            <w:r>
              <w:t>BSL</w:t>
            </w:r>
            <w:r>
              <w:rPr>
                <w:spacing w:val="7"/>
              </w:rPr>
              <w:t>-1、</w:t>
            </w:r>
            <w:r>
              <w:t>ABSL</w:t>
            </w:r>
            <w:r>
              <w:rPr>
                <w:spacing w:val="7"/>
              </w:rPr>
              <w:t>-1实验室；</w:t>
            </w:r>
          </w:p>
          <w:p w14:paraId="5EA53EF1">
            <w:pPr>
              <w:pStyle w:val="6"/>
              <w:spacing w:before="122" w:line="221" w:lineRule="auto"/>
              <w:ind w:left="12"/>
            </w:pPr>
            <w:r>
              <w:rPr>
                <w:spacing w:val="11"/>
              </w:rPr>
              <w:t>(3)基础设备老化；</w:t>
            </w:r>
          </w:p>
          <w:p w14:paraId="64C89299">
            <w:pPr>
              <w:pStyle w:val="6"/>
              <w:spacing w:before="48" w:line="273" w:lineRule="auto"/>
              <w:ind w:left="12" w:firstLine="79"/>
            </w:pPr>
            <w:r>
              <w:rPr>
                <w:spacing w:val="-1"/>
              </w:rPr>
              <w:t>(4)按照《大理大学实验室安全风险评价表》25≤评分&lt;75范围的</w:t>
            </w:r>
            <w:r>
              <w:rPr>
                <w:spacing w:val="-2"/>
              </w:rPr>
              <w:t>实验</w:t>
            </w:r>
            <w:r>
              <w:t xml:space="preserve"> </w:t>
            </w:r>
            <w:r>
              <w:rPr>
                <w:spacing w:val="-2"/>
              </w:rPr>
              <w:t>室。</w:t>
            </w:r>
          </w:p>
        </w:tc>
      </w:tr>
      <w:tr w14:paraId="7F8F5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1" w:hRule="atLeast"/>
        </w:trPr>
        <w:tc>
          <w:tcPr>
            <w:tcW w:w="1503" w:type="dxa"/>
            <w:vAlign w:val="top"/>
          </w:tcPr>
          <w:p w14:paraId="073F2915">
            <w:pPr>
              <w:spacing w:line="327" w:lineRule="auto"/>
              <w:rPr>
                <w:rFonts w:ascii="Arial"/>
                <w:sz w:val="21"/>
              </w:rPr>
            </w:pPr>
          </w:p>
          <w:p w14:paraId="5CDD0EAE">
            <w:pPr>
              <w:spacing w:line="328" w:lineRule="auto"/>
              <w:rPr>
                <w:rFonts w:ascii="Arial"/>
                <w:sz w:val="21"/>
              </w:rPr>
            </w:pPr>
          </w:p>
          <w:p w14:paraId="2A7396BC">
            <w:pPr>
              <w:pStyle w:val="6"/>
              <w:spacing w:before="82" w:line="296" w:lineRule="auto"/>
              <w:ind w:left="55" w:right="52"/>
              <w:jc w:val="both"/>
            </w:pPr>
            <w:r>
              <w:t>IV</w:t>
            </w:r>
            <w:r>
              <w:rPr>
                <w:spacing w:val="2"/>
              </w:rPr>
              <w:t>级/蓝色级</w:t>
            </w:r>
            <w:r>
              <w:t xml:space="preserve"> </w:t>
            </w:r>
            <w:r>
              <w:rPr>
                <w:spacing w:val="1"/>
              </w:rPr>
              <w:t>实验室(低风</w:t>
            </w:r>
            <w:r>
              <w:t xml:space="preserve"> </w:t>
            </w:r>
            <w:r>
              <w:rPr>
                <w:spacing w:val="35"/>
              </w:rPr>
              <w:t>险实验室)</w:t>
            </w:r>
          </w:p>
        </w:tc>
        <w:tc>
          <w:tcPr>
            <w:tcW w:w="7567" w:type="dxa"/>
            <w:vAlign w:val="top"/>
          </w:tcPr>
          <w:p w14:paraId="5C6F1B3C">
            <w:pPr>
              <w:pStyle w:val="6"/>
              <w:spacing w:before="117" w:line="220" w:lineRule="auto"/>
              <w:ind w:left="12"/>
            </w:pPr>
            <w:r>
              <w:rPr>
                <w:spacing w:val="1"/>
              </w:rPr>
              <w:t>实验室有以下情况之一的：</w:t>
            </w:r>
          </w:p>
          <w:p w14:paraId="75CB4DB8">
            <w:pPr>
              <w:pStyle w:val="6"/>
              <w:spacing w:before="122" w:line="220" w:lineRule="auto"/>
              <w:ind w:left="12"/>
            </w:pPr>
            <w:r>
              <w:rPr>
                <w:spacing w:val="7"/>
              </w:rPr>
              <w:t>(1)不涉及重要危险源的实验室；</w:t>
            </w:r>
          </w:p>
          <w:p w14:paraId="134AF9C0">
            <w:pPr>
              <w:pStyle w:val="6"/>
              <w:spacing w:before="62" w:line="220" w:lineRule="auto"/>
              <w:ind w:left="12"/>
            </w:pPr>
            <w:r>
              <w:rPr>
                <w:spacing w:val="5"/>
              </w:rPr>
              <w:t>(2)主要涉及一般性消防安全、用电安全的实验室；</w:t>
            </w:r>
          </w:p>
          <w:p w14:paraId="00082C5A">
            <w:pPr>
              <w:pStyle w:val="6"/>
              <w:spacing w:before="99" w:line="218" w:lineRule="auto"/>
              <w:jc w:val="right"/>
            </w:pPr>
            <w:r>
              <w:rPr>
                <w:spacing w:val="-12"/>
              </w:rPr>
              <w:t>(3)按照《大理大学实验室安全风险评价表》O≤</w:t>
            </w:r>
            <w:r>
              <w:rPr>
                <w:spacing w:val="-13"/>
              </w:rPr>
              <w:t>评分&lt;25范围的实验室。</w:t>
            </w:r>
          </w:p>
        </w:tc>
      </w:tr>
    </w:tbl>
    <w:p w14:paraId="55198508">
      <w:pPr>
        <w:spacing w:before="261" w:line="221" w:lineRule="auto"/>
        <w:ind w:left="395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"/>
          <w:sz w:val="27"/>
          <w:szCs w:val="27"/>
        </w:rPr>
        <w:t>注：1.</w:t>
      </w:r>
      <w:r>
        <w:rPr>
          <w:rFonts w:ascii="仿宋" w:hAnsi="仿宋" w:eastAsia="仿宋" w:cs="仿宋"/>
          <w:spacing w:val="-80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2"/>
          <w:sz w:val="27"/>
          <w:szCs w:val="27"/>
        </w:rPr>
        <w:t>以每间实验用房为单位进行评级。</w:t>
      </w:r>
    </w:p>
    <w:p w14:paraId="0694721D">
      <w:pPr>
        <w:spacing w:before="269" w:line="438" w:lineRule="auto"/>
        <w:ind w:left="395" w:right="435" w:firstLine="549"/>
        <w:jc w:val="both"/>
        <w:rPr>
          <w:rFonts w:ascii="仿宋" w:hAnsi="仿宋" w:eastAsia="仿宋" w:cs="仿宋"/>
          <w:sz w:val="22"/>
          <w:szCs w:val="22"/>
        </w:rPr>
      </w:pPr>
      <w:r>
        <w:rPr>
          <w:rFonts w:ascii="宋体" w:hAnsi="宋体" w:eastAsia="宋体" w:cs="宋体"/>
          <w:spacing w:val="5"/>
          <w:sz w:val="27"/>
          <w:szCs w:val="27"/>
        </w:rPr>
        <w:t>2.</w:t>
      </w:r>
      <w:r>
        <w:rPr>
          <w:rFonts w:ascii="仿宋" w:hAnsi="仿宋" w:eastAsia="仿宋" w:cs="仿宋"/>
          <w:spacing w:val="5"/>
          <w:sz w:val="27"/>
          <w:szCs w:val="27"/>
        </w:rPr>
        <w:t>实验室分级先按表中各级实验室所对应的</w:t>
      </w:r>
      <w:r>
        <w:rPr>
          <w:rFonts w:ascii="仿宋" w:hAnsi="仿宋" w:eastAsia="仿宋" w:cs="仿宋"/>
          <w:spacing w:val="4"/>
          <w:sz w:val="27"/>
          <w:szCs w:val="27"/>
        </w:rPr>
        <w:t>参考情况划分，无所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5"/>
          <w:sz w:val="27"/>
          <w:szCs w:val="27"/>
        </w:rPr>
        <w:t>列情况的，按《大理大学实验室安全风险评价表》进行累计评分</w:t>
      </w:r>
      <w:r>
        <w:rPr>
          <w:rFonts w:ascii="仿宋" w:hAnsi="仿宋" w:eastAsia="仿宋" w:cs="仿宋"/>
          <w:spacing w:val="4"/>
          <w:sz w:val="27"/>
          <w:szCs w:val="27"/>
        </w:rPr>
        <w:t>确定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4"/>
          <w:sz w:val="22"/>
          <w:szCs w:val="22"/>
        </w:rPr>
        <w:t>等</w:t>
      </w:r>
      <w:r>
        <w:rPr>
          <w:rFonts w:ascii="仿宋" w:hAnsi="仿宋" w:eastAsia="仿宋" w:cs="仿宋"/>
          <w:spacing w:val="-16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4"/>
          <w:sz w:val="22"/>
          <w:szCs w:val="22"/>
        </w:rPr>
        <w:t>级</w:t>
      </w:r>
      <w:r>
        <w:rPr>
          <w:rFonts w:ascii="仿宋" w:hAnsi="仿宋" w:eastAsia="仿宋" w:cs="仿宋"/>
          <w:spacing w:val="-34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4"/>
          <w:sz w:val="22"/>
          <w:szCs w:val="22"/>
        </w:rPr>
        <w:t>。</w:t>
      </w:r>
    </w:p>
    <w:p w14:paraId="24117FDC">
      <w:pPr>
        <w:spacing w:before="16" w:line="417" w:lineRule="auto"/>
        <w:ind w:left="395" w:right="434" w:firstLine="570"/>
      </w:pPr>
      <w:r>
        <w:rPr>
          <w:rFonts w:ascii="宋体" w:hAnsi="宋体" w:eastAsia="宋体" w:cs="宋体"/>
          <w:spacing w:val="4"/>
          <w:sz w:val="27"/>
          <w:szCs w:val="27"/>
        </w:rPr>
        <w:t>3.</w:t>
      </w:r>
      <w:r>
        <w:rPr>
          <w:rFonts w:ascii="仿宋" w:hAnsi="仿宋" w:eastAsia="仿宋" w:cs="仿宋"/>
          <w:spacing w:val="4"/>
          <w:sz w:val="27"/>
          <w:szCs w:val="27"/>
        </w:rPr>
        <w:t>对于既有本表所列参考情况，又有《大理大学实验室安全风险</w:t>
      </w:r>
      <w:r>
        <w:rPr>
          <w:rFonts w:ascii="仿宋" w:hAnsi="仿宋" w:eastAsia="仿宋" w:cs="仿宋"/>
          <w:spacing w:val="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6"/>
          <w:sz w:val="27"/>
          <w:szCs w:val="27"/>
        </w:rPr>
        <w:t>评价表》所列危险源的，取两者较高者所对应的实验室等级。</w:t>
      </w:r>
    </w:p>
    <w:sectPr>
      <w:footerReference r:id="rId6" w:type="default"/>
      <w:pgSz w:w="11920" w:h="16830"/>
      <w:pgMar w:top="1124" w:right="1349" w:bottom="1224" w:left="1013" w:header="0" w:footer="97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CD93E">
    <w:pPr>
      <w:spacing w:line="234" w:lineRule="auto"/>
      <w:ind w:left="834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F99B7">
    <w:pPr>
      <w:spacing w:line="234" w:lineRule="auto"/>
      <w:ind w:left="689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8BE7D56"/>
    <w:rsid w:val="6E915E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5728</Words>
  <Characters>6004</Characters>
  <TotalTime>2</TotalTime>
  <ScaleCrop>false</ScaleCrop>
  <LinksUpToDate>false</LinksUpToDate>
  <CharactersWithSpaces>6441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2025-04-29T09:59:00Z</dcterms:created>
  <dc:creator>DELL</dc:creator>
  <cp:lastModifiedBy>Taucenber</cp:lastModifiedBy>
  <dcterms:modified xsi:type="dcterms:W3CDTF">2025-04-29T06:33:47Z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2025-04-29T09:59:38Z</vt:filetime>
  </property>
  <property fmtid="{D5CDD505-2E9C-101B-9397-08002B2CF9AE}" pid="4" name="UsrData">
    <vt:lpwstr>68103286428e8c0020464876wl</vt:lpwstr>
  </property>
  <property fmtid="{D5CDD505-2E9C-101B-9397-08002B2CF9AE}" pid="5" name="KSOTemplateDocerSaveRecord">
    <vt:lpwstr>eyJoZGlkIjoiYmFmM2M0NjYyMDA2ZDE0YTJjMjE2MmQ3MDY5OWU3MGEiLCJ1c2VySWQiOiI1MDk0NjA0MTIifQ==</vt:lpwstr>
  </property>
  <property fmtid="{D5CDD505-2E9C-101B-9397-08002B2CF9AE}" pid="6" name="KSOProductBuildVer">
    <vt:lpwstr>2052-12.1.0.20784</vt:lpwstr>
  </property>
  <property fmtid="{D5CDD505-2E9C-101B-9397-08002B2CF9AE}" pid="7" name="ICV">
    <vt:lpwstr>93D60B0ACD9B4AE7A33391D8AF2B425D_13</vt:lpwstr>
  </property>
</Properties>
</file>